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F" w:rsidRDefault="00DA5805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5805">
        <w:rPr>
          <w:rFonts w:ascii="ＭＳ ゴシック" w:eastAsia="ＭＳ ゴシック" w:hAnsi="ＭＳ ゴシック" w:hint="eastAsia"/>
          <w:sz w:val="28"/>
          <w:szCs w:val="28"/>
        </w:rPr>
        <w:t>インフルエンザ療養報告書</w:t>
      </w:r>
    </w:p>
    <w:p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9607B5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（○○○学校園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>長</w:t>
      </w:r>
      <w:r>
        <w:rPr>
          <w:rFonts w:ascii="ＭＳ 明朝" w:eastAsia="ＭＳ 明朝" w:hAnsi="ＭＳ 明朝" w:hint="eastAsia"/>
          <w:sz w:val="24"/>
          <w:u w:val="single"/>
        </w:rPr>
        <w:t>）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:rsidR="00DC7443" w:rsidRPr="009350F8" w:rsidRDefault="00DC7443" w:rsidP="009350F8">
      <w:pPr>
        <w:ind w:right="220" w:firstLineChars="100" w:firstLine="240"/>
        <w:jc w:val="left"/>
        <w:rPr>
          <w:rFonts w:ascii="ＭＳ 明朝" w:eastAsia="ＭＳ 明朝" w:hAnsi="ＭＳ 明朝" w:hint="eastAsia"/>
          <w:sz w:val="24"/>
          <w:u w:val="single"/>
        </w:rPr>
      </w:pPr>
    </w:p>
    <w:p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9607B5" w:rsidRDefault="009607B5" w:rsidP="00DA5805">
      <w:pPr>
        <w:rPr>
          <w:rFonts w:ascii="ＭＳ 明朝" w:eastAsia="ＭＳ 明朝" w:hAnsi="ＭＳ 明朝"/>
          <w:sz w:val="22"/>
        </w:rPr>
      </w:pPr>
    </w:p>
    <w:p w:rsidR="00DC7443" w:rsidRPr="009607B5" w:rsidRDefault="00DC7443" w:rsidP="00DA5805">
      <w:pPr>
        <w:rPr>
          <w:rFonts w:ascii="ＭＳ 明朝" w:eastAsia="ＭＳ 明朝" w:hAnsi="ＭＳ 明朝" w:hint="eastAsia"/>
          <w:sz w:val="22"/>
        </w:rPr>
      </w:pPr>
    </w:p>
    <w:p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日（診断型：Ａ型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Ｂ型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不明　）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9607B5">
        <w:rPr>
          <w:rFonts w:ascii="ＭＳ ゴシック" w:eastAsia="ＭＳ ゴシック" w:hAnsi="ＭＳ ゴシック" w:hint="eastAsia"/>
          <w:sz w:val="24"/>
        </w:rPr>
        <w:t>４両方の基準を満たす必要があります。】</w:t>
      </w:r>
    </w:p>
    <w:p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発症日：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9607B5" w:rsidRPr="009607B5">
        <w:rPr>
          <w:rFonts w:ascii="ＭＳ 明朝" w:eastAsia="ＭＳ 明朝" w:hAnsi="ＭＳ 明朝" w:hint="eastAsia"/>
          <w:sz w:val="24"/>
        </w:rPr>
        <w:t>解熱した日を０日とし、翌日から数えて２日（幼稚園児は３日）を経過している。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解熱した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111A2A" w:rsidRDefault="00111A2A" w:rsidP="00DA5805">
      <w:pPr>
        <w:rPr>
          <w:rFonts w:ascii="ＭＳ 明朝" w:eastAsia="ＭＳ 明朝" w:hAnsi="ＭＳ 明朝"/>
          <w:sz w:val="24"/>
        </w:rPr>
      </w:pPr>
    </w:p>
    <w:p w:rsidR="00DC7443" w:rsidRPr="009607B5" w:rsidRDefault="00DC7443" w:rsidP="00DA5805">
      <w:pPr>
        <w:rPr>
          <w:rFonts w:ascii="ＭＳ 明朝" w:eastAsia="ＭＳ 明朝" w:hAnsi="ＭＳ 明朝" w:hint="eastAsia"/>
          <w:sz w:val="24"/>
        </w:rPr>
      </w:pPr>
    </w:p>
    <w:p w:rsidR="00612B80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上記３・４両方の基準を満たしていますので、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:rsidR="009607B5" w:rsidRPr="00DC7443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11A2A" w:rsidRDefault="00111A2A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111A2A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:rsidR="009607B5" w:rsidRDefault="009607B5" w:rsidP="00DC7443">
      <w:pPr>
        <w:ind w:firstLineChars="600" w:firstLine="14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AE7541" w:rsidRDefault="00DC7443" w:rsidP="00AE75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E7541"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="00AE7541" w:rsidRPr="00AE7541">
        <w:rPr>
          <w:rFonts w:ascii="ＭＳ 明朝" w:eastAsia="ＭＳ 明朝" w:hAnsi="ＭＳ 明朝" w:hint="eastAsia"/>
          <w:sz w:val="24"/>
        </w:rPr>
        <w:t>必要ありません。</w:t>
      </w:r>
    </w:p>
    <w:p w:rsidR="00ED3AA9" w:rsidRPr="00ED3AA9" w:rsidRDefault="00ED3AA9" w:rsidP="00ED3AA9">
      <w:pPr>
        <w:rPr>
          <w:rFonts w:ascii="ＭＳ 明朝" w:eastAsia="ＭＳ 明朝" w:hAnsi="ＭＳ 明朝"/>
        </w:rPr>
      </w:pPr>
    </w:p>
    <w:p w:rsidR="00DC7443" w:rsidRPr="00ED3AA9" w:rsidRDefault="00ED3AA9" w:rsidP="00ED3AA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※出席停止期間については裏面をご参照ください。</w:t>
      </w:r>
    </w:p>
    <w:p w:rsid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p w:rsidR="00DC7443" w:rsidRDefault="00DC744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DC7443" w:rsidRPr="00DC7443" w:rsidRDefault="00DC7443" w:rsidP="00DC7443">
      <w:pPr>
        <w:ind w:left="86" w:firstLine="216"/>
        <w:jc w:val="center"/>
        <w:rPr>
          <w:rFonts w:ascii="BIZ UDP明朝 Medium" w:eastAsia="BIZ UDP明朝 Medium" w:hAnsi="BIZ UDP明朝 Medium" w:hint="eastAsia"/>
          <w:sz w:val="24"/>
          <w:szCs w:val="21"/>
        </w:rPr>
      </w:pPr>
      <w:r w:rsidRPr="00DC7443">
        <w:rPr>
          <w:rFonts w:ascii="BIZ UDP明朝 Medium" w:eastAsia="BIZ UDP明朝 Medium" w:hAnsi="BIZ UDP明朝 Medium" w:hint="eastAsia"/>
          <w:sz w:val="24"/>
          <w:szCs w:val="21"/>
        </w:rPr>
        <w:lastRenderedPageBreak/>
        <w:t>≪インフルエンザ出席停止期間早見表≫</w:t>
      </w:r>
    </w:p>
    <w:tbl>
      <w:tblPr>
        <w:tblStyle w:val="a9"/>
        <w:tblpPr w:leftFromText="142" w:rightFromText="142" w:vertAnchor="text" w:horzAnchor="margin" w:tblpXSpec="center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421"/>
        <w:gridCol w:w="1167"/>
        <w:gridCol w:w="788"/>
        <w:gridCol w:w="788"/>
        <w:gridCol w:w="789"/>
        <w:gridCol w:w="790"/>
        <w:gridCol w:w="790"/>
        <w:gridCol w:w="790"/>
        <w:gridCol w:w="790"/>
        <w:gridCol w:w="790"/>
        <w:gridCol w:w="790"/>
        <w:gridCol w:w="790"/>
      </w:tblGrid>
      <w:tr w:rsidR="00DC7443" w:rsidTr="00DC7443">
        <w:trPr>
          <w:trHeight w:val="177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7443" w:rsidRPr="00DC7443" w:rsidRDefault="00DC7443" w:rsidP="00DC7443">
            <w:pPr>
              <w:ind w:left="94" w:right="113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小・中学生　高校生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発症日</w:t>
            </w:r>
          </w:p>
        </w:tc>
        <w:tc>
          <w:tcPr>
            <w:tcW w:w="7107" w:type="dxa"/>
            <w:gridSpan w:val="9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発症後</w:t>
            </w: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0日目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1日目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2日目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3日目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4日目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5日目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6日目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7日目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8日目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9日目</w:t>
            </w: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8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:rsidR="00DC7443" w:rsidRPr="00DC7443" w:rsidRDefault="00DC7443" w:rsidP="00DC7443">
            <w:pPr>
              <w:ind w:left="11" w:hangingChars="6" w:hanging="11"/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left"/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　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7443" w:rsidRPr="00072F31" w:rsidRDefault="00DC7443" w:rsidP="00DC744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幼稚園児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rPr>
          <w:trHeight w:val="25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ind w:left="94" w:firstLineChars="50" w:firstLine="8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</w:tr>
      <w:tr w:rsidR="00DC7443" w:rsidTr="00DC7443">
        <w:trPr>
          <w:trHeight w:val="125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:rsidR="00DC7443" w:rsidRPr="00AE605E" w:rsidRDefault="00DC7443" w:rsidP="00DC744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  <w:bookmarkStart w:id="0" w:name="_GoBack"/>
            <w:bookmarkEnd w:id="0"/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DC7443" w:rsidRPr="00DC7443" w:rsidRDefault="00DC7443" w:rsidP="00DC7443">
      <w:pPr>
        <w:jc w:val="center"/>
        <w:rPr>
          <w:rFonts w:ascii="ＭＳ 明朝" w:eastAsia="ＭＳ 明朝" w:hAnsi="ＭＳ 明朝" w:hint="eastAsia"/>
          <w:sz w:val="24"/>
        </w:rPr>
      </w:pPr>
    </w:p>
    <w:sectPr w:rsidR="00DC7443" w:rsidRPr="00DC7443" w:rsidSect="00DC74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D2" w:rsidRDefault="000226D2" w:rsidP="000226D2">
      <w:r>
        <w:separator/>
      </w:r>
    </w:p>
  </w:endnote>
  <w:endnote w:type="continuationSeparator" w:id="0">
    <w:p w:rsidR="000226D2" w:rsidRDefault="000226D2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D2" w:rsidRDefault="000226D2" w:rsidP="000226D2">
      <w:r>
        <w:separator/>
      </w:r>
    </w:p>
  </w:footnote>
  <w:footnote w:type="continuationSeparator" w:id="0">
    <w:p w:rsidR="000226D2" w:rsidRDefault="000226D2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F7"/>
    <w:rsid w:val="000226D2"/>
    <w:rsid w:val="00111A2A"/>
    <w:rsid w:val="00224C73"/>
    <w:rsid w:val="00360595"/>
    <w:rsid w:val="003D3136"/>
    <w:rsid w:val="005540F7"/>
    <w:rsid w:val="00612B80"/>
    <w:rsid w:val="009350F8"/>
    <w:rsid w:val="009607B5"/>
    <w:rsid w:val="00AA694F"/>
    <w:rsid w:val="00AE7541"/>
    <w:rsid w:val="00DA5805"/>
    <w:rsid w:val="00DC7443"/>
    <w:rsid w:val="00E71816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15200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D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2022-11-10T07:53:00Z</cp:lastPrinted>
  <dcterms:created xsi:type="dcterms:W3CDTF">2022-11-09T00:12:00Z</dcterms:created>
  <dcterms:modified xsi:type="dcterms:W3CDTF">2023-05-31T04:25:00Z</dcterms:modified>
</cp:coreProperties>
</file>